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C2" w:rsidRPr="003A7C57" w:rsidRDefault="00A41C47">
      <w:pPr>
        <w:spacing w:after="1" w:line="300" w:lineRule="atLeast"/>
        <w:jc w:val="center"/>
      </w:pPr>
      <w:bookmarkStart w:id="0" w:name="_GoBack"/>
      <w:bookmarkEnd w:id="0"/>
      <w:r>
        <w:rPr>
          <w:sz w:val="30"/>
          <w:szCs w:val="30"/>
        </w:rPr>
        <w:t>О транспортном налоге</w:t>
      </w:r>
    </w:p>
    <w:p w:rsidR="003A7C57" w:rsidRDefault="003A7C57" w:rsidP="00DA45A9">
      <w:pPr>
        <w:spacing w:after="1" w:line="300" w:lineRule="atLeast"/>
        <w:ind w:firstLine="709"/>
        <w:jc w:val="both"/>
        <w:rPr>
          <w:sz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Министерство по налогам и сборам для использования в работе и информирования плательщиков направляет информацию по наиболее часто задаваемым вопросам о порядке исчисления и уплаты транспортного налога организациями.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1. Являются ли плательщиками транспортного налога организации, получившие транспортное средство по договору аренды?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rFonts w:eastAsia="Calibri"/>
          <w:sz w:val="30"/>
          <w:szCs w:val="30"/>
          <w:lang w:eastAsia="en-US"/>
        </w:rPr>
        <w:t xml:space="preserve">Согласно пункту 1 статьи 307-1 Налогового кодекса Республики Беларусь (далее - НК) плательщиками транспортного налога признаются </w:t>
      </w:r>
      <w:r w:rsidRPr="0033481F">
        <w:rPr>
          <w:sz w:val="30"/>
          <w:szCs w:val="30"/>
        </w:rPr>
        <w:t>организации и физические лица, в том числе зарегистрированные в качестве индивидуальных предпринимателей.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При передаче транспортного средства в финансовую аренду (лизинг) плательщиком налога признается лизингополучатель.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Объектом налогообложения транспортным налогом признаются транспортные средства, зарегистрированные за физическими лицами или организациями в Государственной автомобильной инспекции Министерства внутренних дел (пункт 1 статьи 307-2 НК).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proofErr w:type="gramStart"/>
      <w:r w:rsidRPr="0033481F">
        <w:rPr>
          <w:rFonts w:eastAsia="Calibri"/>
          <w:sz w:val="30"/>
          <w:szCs w:val="30"/>
          <w:lang w:eastAsia="en-US"/>
        </w:rPr>
        <w:t xml:space="preserve">Пунктом 12 Положения о порядке государственной регистрации и государственного учета транспортных средств, снятия их с учета и внесения изменений в документы, связанные с государственной регистрацией транспортных средств, утвержденного постановлением Совета Министров  Республики Беларусь от 31.12.2002 № 1849 (далее – Положение № 1849), определено, что транспортные средства, за исключением случаев, предусмотренных Положением № 1849, регистрируются только за </w:t>
      </w:r>
      <w:r w:rsidRPr="0033481F">
        <w:rPr>
          <w:rFonts w:eastAsia="Calibri"/>
          <w:sz w:val="30"/>
          <w:szCs w:val="30"/>
          <w:u w:val="single"/>
          <w:lang w:eastAsia="en-US"/>
        </w:rPr>
        <w:t>собственниками</w:t>
      </w:r>
      <w:r w:rsidRPr="0033481F">
        <w:rPr>
          <w:rFonts w:eastAsia="Calibri"/>
          <w:sz w:val="30"/>
          <w:szCs w:val="30"/>
          <w:lang w:eastAsia="en-US"/>
        </w:rPr>
        <w:t xml:space="preserve"> - юридическими или физическими лицами, индивидуальными предпринимателями, указанными</w:t>
      </w:r>
      <w:proofErr w:type="gramEnd"/>
      <w:r w:rsidRPr="0033481F">
        <w:rPr>
          <w:rFonts w:eastAsia="Calibri"/>
          <w:sz w:val="30"/>
          <w:szCs w:val="30"/>
          <w:lang w:eastAsia="en-US"/>
        </w:rPr>
        <w:t xml:space="preserve"> в документах, подтверждающих законность приобретения (получения) транспортного средства. </w:t>
      </w:r>
    </w:p>
    <w:p w:rsidR="00A41C47" w:rsidRPr="0033481F" w:rsidRDefault="00A41C47" w:rsidP="00A41C47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 xml:space="preserve">Согласно пункту 17 Положения № 1849 транспортные средства, переданные физическому или юридическому лицу на основании </w:t>
      </w:r>
      <w:hyperlink r:id="rId9" w:history="1">
        <w:r w:rsidRPr="0033481F">
          <w:rPr>
            <w:rFonts w:eastAsia="Calibri"/>
            <w:sz w:val="30"/>
            <w:szCs w:val="30"/>
            <w:lang w:eastAsia="en-US"/>
          </w:rPr>
          <w:t>договора</w:t>
        </w:r>
      </w:hyperlink>
      <w:r w:rsidRPr="0033481F">
        <w:rPr>
          <w:rFonts w:eastAsia="Calibri"/>
          <w:sz w:val="30"/>
          <w:szCs w:val="30"/>
          <w:lang w:eastAsia="en-US"/>
        </w:rPr>
        <w:t xml:space="preserve"> лизинга, регистрируются за лизингополучателем или его обособленным подразделением.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Исходя из изложенного, плательщиками транспортного налога признаются организации-собственники транспортных средств, а также лизингополучатели.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При получении транспортного средства по договору аренды организация-арендатор транспортный налог в бюджет не уплачивает.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2. Являются ли плательщиками транспортного налога филиалы организаций, которым переданы транспортные средства, зарегистрированные за головной организацией?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sz w:val="30"/>
          <w:szCs w:val="30"/>
        </w:rPr>
        <w:t xml:space="preserve">В соответствии с пунктом 12 Положения № 1849 </w:t>
      </w:r>
      <w:r w:rsidRPr="0033481F">
        <w:rPr>
          <w:rFonts w:eastAsia="Calibri"/>
          <w:sz w:val="30"/>
          <w:szCs w:val="30"/>
          <w:lang w:eastAsia="en-US"/>
        </w:rPr>
        <w:t xml:space="preserve">транспортные средства, за исключением случаев, предусмотренных Положением, регистрируются только за собственниками - </w:t>
      </w:r>
      <w:r w:rsidRPr="0033481F">
        <w:rPr>
          <w:rFonts w:eastAsia="Calibri"/>
          <w:sz w:val="30"/>
          <w:szCs w:val="30"/>
          <w:u w:val="single"/>
          <w:lang w:eastAsia="en-US"/>
        </w:rPr>
        <w:t>юридическими</w:t>
      </w:r>
      <w:r w:rsidRPr="0033481F">
        <w:rPr>
          <w:rFonts w:eastAsia="Calibri"/>
          <w:sz w:val="30"/>
          <w:szCs w:val="30"/>
          <w:lang w:eastAsia="en-US"/>
        </w:rPr>
        <w:t xml:space="preserve"> или физическими лицами, индивидуальными предпринимателями, указанными в документах, подтверждающих законность приобретения (получения) транспортного средства.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proofErr w:type="gramStart"/>
      <w:r w:rsidRPr="0033481F">
        <w:rPr>
          <w:sz w:val="30"/>
          <w:szCs w:val="30"/>
        </w:rPr>
        <w:t>Таким образом, головная организация является плательщиком транспортного налога по всем транспортным средствам, зарегистрированным за данной организаций, включая транспортные средства, переданные филиалам, исполняющим налоговые обязательства в соответствии со статьей 14 НК.</w:t>
      </w:r>
      <w:proofErr w:type="gramEnd"/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 xml:space="preserve">3. Являются ли объектом обложения тракторы, погрузчики, </w:t>
      </w:r>
      <w:proofErr w:type="spellStart"/>
      <w:r w:rsidRPr="0033481F">
        <w:rPr>
          <w:sz w:val="30"/>
          <w:szCs w:val="30"/>
        </w:rPr>
        <w:t>квадроциклы</w:t>
      </w:r>
      <w:proofErr w:type="spellEnd"/>
      <w:r w:rsidRPr="0033481F">
        <w:rPr>
          <w:sz w:val="30"/>
          <w:szCs w:val="30"/>
        </w:rPr>
        <w:t>, мопеды?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 xml:space="preserve">Объектом налогообложения транспортным налогом признаются транспортные средства, зарегистрированные за организациями в </w:t>
      </w:r>
      <w:r w:rsidRPr="0033481F">
        <w:rPr>
          <w:sz w:val="30"/>
          <w:szCs w:val="30"/>
          <w:u w:val="single"/>
        </w:rPr>
        <w:t>Государственной автомобильной инспекции Министерства внутренних дел</w:t>
      </w:r>
      <w:r w:rsidRPr="0033481F">
        <w:rPr>
          <w:sz w:val="30"/>
          <w:szCs w:val="30"/>
        </w:rPr>
        <w:t xml:space="preserve"> (пункт 1 статьи 307-2 НК).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sz w:val="30"/>
          <w:szCs w:val="30"/>
        </w:rPr>
        <w:t xml:space="preserve">Перечень видов транспортных средств, не подлежащих регистрации в Государственной автомобильной инспекции Министерства внутренних дел, приведен в абзацах втором-семнадцатом части второй пункта 3 Положения № 1849 и включает, например, </w:t>
      </w:r>
      <w:r w:rsidRPr="0033481F">
        <w:rPr>
          <w:rFonts w:eastAsia="Calibri"/>
          <w:sz w:val="30"/>
          <w:szCs w:val="30"/>
          <w:lang w:eastAsia="en-US"/>
        </w:rPr>
        <w:t>колесные тракторы (самоходные машины) и прицепы к ним, строительное оборудование и др.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Такие транспортные средства не являются объектами налогообложения транспортным налогом.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 xml:space="preserve">Приложением 27 к НК установлены ставки транспортного налога по конкретным видам транспортных средств. Транспортные средства, регистрируемые в Государственной автомобильной инспекции Министерства внутренних дел, для которых ставки транспортного налога не установлены (например, мопеды, </w:t>
      </w:r>
      <w:proofErr w:type="spellStart"/>
      <w:r w:rsidRPr="0033481F">
        <w:rPr>
          <w:sz w:val="30"/>
          <w:szCs w:val="30"/>
        </w:rPr>
        <w:t>квадроциклы</w:t>
      </w:r>
      <w:proofErr w:type="spellEnd"/>
      <w:r w:rsidRPr="0033481F">
        <w:rPr>
          <w:sz w:val="30"/>
          <w:szCs w:val="30"/>
        </w:rPr>
        <w:t>), транспортным налогом также не облагаются.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4. По какой ставке транспортного налога облагаются полуприцепы?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 xml:space="preserve">  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В пункте 1 приложения 27 к НК установлены ставки транспортного налога для организаций по видам транспортных средств, в частности, установлены ставки этого налога для прицепов в зависимости от максимально разрешенной массы.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sz w:val="30"/>
          <w:szCs w:val="30"/>
        </w:rPr>
        <w:t xml:space="preserve">Согласно Правилам автомобильных перевозок грузов, утвержденным постановлением Совета Министров  Республики Беларусь </w:t>
      </w:r>
      <w:r w:rsidRPr="0033481F">
        <w:rPr>
          <w:sz w:val="30"/>
          <w:szCs w:val="30"/>
        </w:rPr>
        <w:lastRenderedPageBreak/>
        <w:t xml:space="preserve">от 30.06.2008 №970, </w:t>
      </w:r>
      <w:r w:rsidRPr="0033481F">
        <w:rPr>
          <w:rFonts w:eastAsia="Calibri"/>
          <w:sz w:val="30"/>
          <w:szCs w:val="30"/>
          <w:lang w:eastAsia="en-US"/>
        </w:rPr>
        <w:t>полуприцеп - прицеп, конструкция которого предназначена для использования с седельным тягачом и часть полной массы которого передается на седельный тягач через седельно-сцепное устройство.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Таким образом, полуприцеп является разновидностью прицепа и, следовательно, облагается транспортным налогом по ставкам, установленным для прицепов.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sz w:val="30"/>
          <w:szCs w:val="30"/>
        </w:rPr>
        <w:t>5. Применяется ли льгота, установленная подпунктом 1.1   статьи 307-3 НК, если за выдачу разрешения н</w:t>
      </w:r>
      <w:r w:rsidRPr="0033481F">
        <w:rPr>
          <w:rFonts w:eastAsia="Calibri"/>
          <w:sz w:val="30"/>
          <w:szCs w:val="30"/>
          <w:lang w:eastAsia="en-US"/>
        </w:rPr>
        <w:t>а допуск транспортного средства к участию в дорожном движении государственная пошлина уплачена не собственником транспортного средства (например, арендатором, прежним собственником)?</w:t>
      </w:r>
    </w:p>
    <w:p w:rsidR="00A41C47" w:rsidRPr="0033481F" w:rsidRDefault="00A41C47" w:rsidP="00A41C47">
      <w:pPr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Подпунктом 1.1 пункта 1 статьи 307-3 НК установлено, что от транспортного налога освобождаются транспортные средства, в отношении которых не истек срок действия разрешения на допуск транспортного средства к участию в дорожном движении, за выдачу которого была уплачена государственная пошлина.</w:t>
      </w:r>
    </w:p>
    <w:p w:rsidR="00A41C47" w:rsidRPr="0033481F" w:rsidRDefault="00A41C47" w:rsidP="00A41C4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Поскольку указанная льгота установлена для транспортных средств (а не в отношении плательщиков), то она действует и в случаях, когда по транспортному средству, являющемуся объектом налогообложения транспортным налогом, государственная пошлина за выдачу разрешения на допуск транспортного средства в дорожном движении уплачена иным лицом.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6. У организации имеется автомобиль, по которому в 2020 году уплачена государственная пошлина за выдачу разрешения на допуск транспортного средства к участию в дорожном движении. Срок действия данного разрешения истекает в феврале 202</w:t>
      </w:r>
      <w:r w:rsidR="007E2195">
        <w:rPr>
          <w:sz w:val="30"/>
          <w:szCs w:val="30"/>
        </w:rPr>
        <w:t>1</w:t>
      </w:r>
      <w:r w:rsidRPr="0033481F">
        <w:rPr>
          <w:sz w:val="30"/>
          <w:szCs w:val="30"/>
        </w:rPr>
        <w:t xml:space="preserve"> года. Следует ли уплачивать авансовый платеж за 1-й квартал 2021 года по данному автомобилю?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Пунктом 8 статьи 307-7 НК установлено, что плательщики-организации за первый - третий кварталы текущего налогового периода исчисляют и уплачивают авансовые платежи. При этом авансовый платеж за первый квартал уплачивается исходя из  наличия транспортных средств на 1 января текущего года.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33481F">
        <w:rPr>
          <w:rFonts w:eastAsia="Calibri"/>
          <w:sz w:val="30"/>
          <w:szCs w:val="30"/>
          <w:lang w:eastAsia="en-US"/>
        </w:rPr>
        <w:t xml:space="preserve">Вместе с тем, согласно подпункту 1.1 пункта 1 статьи 307-3, пункту 4 статьи 307-7 НК в отношении автомобиля, на который имеется действующее разрешение на допуск к участию в дорожном движении, организация вправе применить льготу, а исчисление транспортного налога </w:t>
      </w:r>
      <w:r w:rsidRPr="0033481F">
        <w:rPr>
          <w:rFonts w:eastAsia="Calibri"/>
          <w:sz w:val="30"/>
          <w:szCs w:val="30"/>
          <w:u w:val="single"/>
          <w:lang w:eastAsia="en-US"/>
        </w:rPr>
        <w:t>начинается с месяца, следующего за месяцем</w:t>
      </w:r>
      <w:r w:rsidRPr="0033481F">
        <w:rPr>
          <w:rFonts w:eastAsia="Calibri"/>
          <w:sz w:val="30"/>
          <w:szCs w:val="30"/>
          <w:lang w:eastAsia="en-US"/>
        </w:rPr>
        <w:t>, в котором истек срок действия такого разрешения.</w:t>
      </w:r>
      <w:proofErr w:type="gramEnd"/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lastRenderedPageBreak/>
        <w:t xml:space="preserve">Таким образом, поскольку на 1 января 2021 года данный автомобиль не облагается транспортным налогом, то </w:t>
      </w:r>
      <w:r w:rsidRPr="0033481F">
        <w:rPr>
          <w:rFonts w:eastAsia="Calibri"/>
          <w:sz w:val="30"/>
          <w:szCs w:val="30"/>
          <w:u w:val="single"/>
          <w:lang w:eastAsia="en-US"/>
        </w:rPr>
        <w:t>для расчета авансового платежа</w:t>
      </w:r>
      <w:r w:rsidRPr="0033481F">
        <w:rPr>
          <w:rFonts w:eastAsia="Calibri"/>
          <w:sz w:val="30"/>
          <w:szCs w:val="30"/>
          <w:lang w:eastAsia="en-US"/>
        </w:rPr>
        <w:t xml:space="preserve"> за 1-й квартал 2021 года он не учитывается.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  <w:r w:rsidRPr="0033481F">
        <w:rPr>
          <w:sz w:val="30"/>
          <w:szCs w:val="30"/>
        </w:rPr>
        <w:t>7. У организации на 1 января 2021 г. имеется автомобиль, по которому отсутствует действующее разрешение на допуск транспортного средства к участию в дорожном движении. 13 марта 2021 г. данное транспортное средство снято с учета для утилизации. Следует ли уплачивать авансовый платеж за 1-й квартал 2021 года по данному автомобилю?</w:t>
      </w:r>
    </w:p>
    <w:p w:rsidR="00A41C47" w:rsidRPr="0033481F" w:rsidRDefault="00A41C47" w:rsidP="00A41C47">
      <w:pPr>
        <w:ind w:firstLine="708"/>
        <w:jc w:val="both"/>
        <w:rPr>
          <w:sz w:val="30"/>
          <w:szCs w:val="30"/>
        </w:rPr>
      </w:pP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Пунктом 8 статьи 307-7 НК установлено, что плательщики-организации за первый - третий кварталы текущего налогового периода исчисляют и уплачивают авансовые платежи. При этом авансовый платеж за первый квартал уплачивается исходя из  наличия транспортных средств на 1 января текущего года.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В соответствии с подпунктом 1.2 пункта 1 статьи 307-3 НК  освобождаются от транспортного налога транспортные средства, снятые с учета до 1 июля 2021 года. При этом льгота применяется за весь период владения транспортным средством в 2021 году.</w:t>
      </w:r>
    </w:p>
    <w:p w:rsidR="00A41C47" w:rsidRPr="0033481F" w:rsidRDefault="00A41C47" w:rsidP="00A41C4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3481F">
        <w:rPr>
          <w:rFonts w:eastAsia="Calibri"/>
          <w:sz w:val="30"/>
          <w:szCs w:val="30"/>
          <w:lang w:eastAsia="en-US"/>
        </w:rPr>
        <w:t>Таким образом, поскольку на момент уплаты авансового платежа за 1-й квартал 2021 г. автомобиль снят с учета, а значит, по нему применяется налоговая льгота с 1 января 2021 г., данное транспортное средство для расчета авансового платежа за 1-й квартал 2021 года не учитывается.</w:t>
      </w:r>
    </w:p>
    <w:sectPr w:rsidR="00A41C47" w:rsidRPr="0033481F">
      <w:headerReference w:type="even" r:id="rId10"/>
      <w:headerReference w:type="default" r:id="rId11"/>
      <w:pgSz w:w="11906" w:h="16838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98" w:rsidRDefault="00095998">
      <w:r>
        <w:separator/>
      </w:r>
    </w:p>
  </w:endnote>
  <w:endnote w:type="continuationSeparator" w:id="0">
    <w:p w:rsidR="00095998" w:rsidRDefault="000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98" w:rsidRDefault="00095998">
      <w:r>
        <w:separator/>
      </w:r>
    </w:p>
  </w:footnote>
  <w:footnote w:type="continuationSeparator" w:id="0">
    <w:p w:rsidR="00095998" w:rsidRDefault="0009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F37F6" w:rsidRDefault="009F37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7D2">
      <w:rPr>
        <w:rStyle w:val="a6"/>
        <w:noProof/>
      </w:rPr>
      <w:t>4</w:t>
    </w:r>
    <w:r>
      <w:rPr>
        <w:rStyle w:val="a6"/>
      </w:rPr>
      <w:fldChar w:fldCharType="end"/>
    </w:r>
  </w:p>
  <w:p w:rsidR="009F37F6" w:rsidRDefault="009F37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FA4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B"/>
    <w:rsid w:val="00023B1A"/>
    <w:rsid w:val="00026C24"/>
    <w:rsid w:val="000603A2"/>
    <w:rsid w:val="00076A2B"/>
    <w:rsid w:val="00085B8C"/>
    <w:rsid w:val="00094931"/>
    <w:rsid w:val="0009565D"/>
    <w:rsid w:val="00095998"/>
    <w:rsid w:val="0009745D"/>
    <w:rsid w:val="000B64A6"/>
    <w:rsid w:val="000E5CF6"/>
    <w:rsid w:val="000F7E48"/>
    <w:rsid w:val="00103516"/>
    <w:rsid w:val="001426AA"/>
    <w:rsid w:val="00192C2E"/>
    <w:rsid w:val="00206AE1"/>
    <w:rsid w:val="0024557E"/>
    <w:rsid w:val="0025239F"/>
    <w:rsid w:val="00262F4B"/>
    <w:rsid w:val="00273DC0"/>
    <w:rsid w:val="00277B01"/>
    <w:rsid w:val="00283F1F"/>
    <w:rsid w:val="002B0626"/>
    <w:rsid w:val="002B2867"/>
    <w:rsid w:val="002C16B3"/>
    <w:rsid w:val="002C277C"/>
    <w:rsid w:val="002C77FC"/>
    <w:rsid w:val="002E2A19"/>
    <w:rsid w:val="002E2C9B"/>
    <w:rsid w:val="002E4056"/>
    <w:rsid w:val="002E5F32"/>
    <w:rsid w:val="00340394"/>
    <w:rsid w:val="00342E78"/>
    <w:rsid w:val="00395A92"/>
    <w:rsid w:val="003A0016"/>
    <w:rsid w:val="003A7C57"/>
    <w:rsid w:val="003B3C55"/>
    <w:rsid w:val="003C7A6B"/>
    <w:rsid w:val="003F1C73"/>
    <w:rsid w:val="003F709B"/>
    <w:rsid w:val="004038CC"/>
    <w:rsid w:val="00416874"/>
    <w:rsid w:val="0042634D"/>
    <w:rsid w:val="00427D1C"/>
    <w:rsid w:val="004340DA"/>
    <w:rsid w:val="00483807"/>
    <w:rsid w:val="00483F4A"/>
    <w:rsid w:val="004930C8"/>
    <w:rsid w:val="004C14E5"/>
    <w:rsid w:val="004D4B53"/>
    <w:rsid w:val="004D60BB"/>
    <w:rsid w:val="004E2460"/>
    <w:rsid w:val="005035B8"/>
    <w:rsid w:val="00560341"/>
    <w:rsid w:val="005667D2"/>
    <w:rsid w:val="005706DF"/>
    <w:rsid w:val="005827CB"/>
    <w:rsid w:val="00597708"/>
    <w:rsid w:val="005D133B"/>
    <w:rsid w:val="005E3C63"/>
    <w:rsid w:val="005F0316"/>
    <w:rsid w:val="00614B8D"/>
    <w:rsid w:val="00620571"/>
    <w:rsid w:val="006A2702"/>
    <w:rsid w:val="006B139C"/>
    <w:rsid w:val="006C4D98"/>
    <w:rsid w:val="006D3895"/>
    <w:rsid w:val="006D7168"/>
    <w:rsid w:val="006F2301"/>
    <w:rsid w:val="007007EC"/>
    <w:rsid w:val="00716A93"/>
    <w:rsid w:val="0073350C"/>
    <w:rsid w:val="00746D7F"/>
    <w:rsid w:val="007575B8"/>
    <w:rsid w:val="00795F40"/>
    <w:rsid w:val="007C763D"/>
    <w:rsid w:val="007E1469"/>
    <w:rsid w:val="007E2195"/>
    <w:rsid w:val="007E7F80"/>
    <w:rsid w:val="007F23B8"/>
    <w:rsid w:val="00806DE9"/>
    <w:rsid w:val="00817768"/>
    <w:rsid w:val="00855826"/>
    <w:rsid w:val="00866935"/>
    <w:rsid w:val="00890FFC"/>
    <w:rsid w:val="008D1BCC"/>
    <w:rsid w:val="008D741F"/>
    <w:rsid w:val="008E248E"/>
    <w:rsid w:val="008F4059"/>
    <w:rsid w:val="0091497B"/>
    <w:rsid w:val="00954DF1"/>
    <w:rsid w:val="009700A8"/>
    <w:rsid w:val="009761FE"/>
    <w:rsid w:val="009765DC"/>
    <w:rsid w:val="00986A78"/>
    <w:rsid w:val="009B2111"/>
    <w:rsid w:val="009F37F6"/>
    <w:rsid w:val="00A01FA2"/>
    <w:rsid w:val="00A3451C"/>
    <w:rsid w:val="00A41C47"/>
    <w:rsid w:val="00A47A0B"/>
    <w:rsid w:val="00A576FE"/>
    <w:rsid w:val="00AC4855"/>
    <w:rsid w:val="00AE2A9E"/>
    <w:rsid w:val="00AE2D07"/>
    <w:rsid w:val="00B01073"/>
    <w:rsid w:val="00B21FFA"/>
    <w:rsid w:val="00B4503E"/>
    <w:rsid w:val="00B54FD6"/>
    <w:rsid w:val="00B72B06"/>
    <w:rsid w:val="00BB0795"/>
    <w:rsid w:val="00BC7FDD"/>
    <w:rsid w:val="00BD49D2"/>
    <w:rsid w:val="00BF47F1"/>
    <w:rsid w:val="00BF7EC3"/>
    <w:rsid w:val="00C30EB2"/>
    <w:rsid w:val="00C317D1"/>
    <w:rsid w:val="00C34B9B"/>
    <w:rsid w:val="00C84B11"/>
    <w:rsid w:val="00CA42C2"/>
    <w:rsid w:val="00CA584C"/>
    <w:rsid w:val="00CA5CF4"/>
    <w:rsid w:val="00CB2EDE"/>
    <w:rsid w:val="00CB6382"/>
    <w:rsid w:val="00D233BF"/>
    <w:rsid w:val="00D32B77"/>
    <w:rsid w:val="00D3407C"/>
    <w:rsid w:val="00D34927"/>
    <w:rsid w:val="00D56989"/>
    <w:rsid w:val="00D61B15"/>
    <w:rsid w:val="00D72290"/>
    <w:rsid w:val="00D77F20"/>
    <w:rsid w:val="00D84FE4"/>
    <w:rsid w:val="00D8633E"/>
    <w:rsid w:val="00DA45A9"/>
    <w:rsid w:val="00E74FA1"/>
    <w:rsid w:val="00E805A0"/>
    <w:rsid w:val="00E87192"/>
    <w:rsid w:val="00EA17EB"/>
    <w:rsid w:val="00EA4B31"/>
    <w:rsid w:val="00EC2646"/>
    <w:rsid w:val="00ED1590"/>
    <w:rsid w:val="00F531C7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left="347" w:right="-59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47" w:right="-59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="175"/>
      <w:jc w:val="center"/>
    </w:pPr>
    <w:rPr>
      <w:sz w:val="24"/>
      <w:lang w:val="en-US"/>
    </w:rPr>
  </w:style>
  <w:style w:type="paragraph" w:styleId="a4">
    <w:name w:val="Body Text Indent"/>
    <w:basedOn w:val="a"/>
    <w:pPr>
      <w:ind w:left="-108"/>
      <w:jc w:val="center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806DE9"/>
    <w:pPr>
      <w:autoSpaceDE w:val="0"/>
      <w:autoSpaceDN w:val="0"/>
      <w:adjustRightInd w:val="0"/>
    </w:pPr>
    <w:rPr>
      <w:sz w:val="30"/>
      <w:szCs w:val="30"/>
    </w:rPr>
  </w:style>
  <w:style w:type="paragraph" w:styleId="a8">
    <w:name w:val="Normal (Web)"/>
    <w:basedOn w:val="a"/>
    <w:uiPriority w:val="99"/>
    <w:unhideWhenUsed/>
    <w:rsid w:val="00806DE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395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5A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986A78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986A78"/>
  </w:style>
  <w:style w:type="character" w:styleId="ad">
    <w:name w:val="footnote reference"/>
    <w:uiPriority w:val="99"/>
    <w:rsid w:val="00986A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left="347" w:right="-59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47" w:right="-59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="175"/>
      <w:jc w:val="center"/>
    </w:pPr>
    <w:rPr>
      <w:sz w:val="24"/>
      <w:lang w:val="en-US"/>
    </w:rPr>
  </w:style>
  <w:style w:type="paragraph" w:styleId="a4">
    <w:name w:val="Body Text Indent"/>
    <w:basedOn w:val="a"/>
    <w:pPr>
      <w:ind w:left="-108"/>
      <w:jc w:val="center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806DE9"/>
    <w:pPr>
      <w:autoSpaceDE w:val="0"/>
      <w:autoSpaceDN w:val="0"/>
      <w:adjustRightInd w:val="0"/>
    </w:pPr>
    <w:rPr>
      <w:sz w:val="30"/>
      <w:szCs w:val="30"/>
    </w:rPr>
  </w:style>
  <w:style w:type="paragraph" w:styleId="a8">
    <w:name w:val="Normal (Web)"/>
    <w:basedOn w:val="a"/>
    <w:uiPriority w:val="99"/>
    <w:unhideWhenUsed/>
    <w:rsid w:val="00806DE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395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5A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986A78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986A78"/>
  </w:style>
  <w:style w:type="character" w:styleId="ad">
    <w:name w:val="footnote reference"/>
    <w:uiPriority w:val="99"/>
    <w:rsid w:val="00986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2744330ADED5F741632FFD74BDA5F62D89CA3E96E77E598A235AB1C86DC1A29887737C67F5B0D519E8BAE05A05FA7E63BB72B0DA4BB26D0227EA9AF9M3r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3_kizjuk_s_v\AppData\Roaming\Microsoft\&#1064;&#1072;&#1073;&#1083;&#1086;&#1085;&#1099;\&#1087;&#1080;&#1089;&#1100;&#1084;&#1086;%20&#1087;&#1086;%20%20&#1101;&#1083;&#1077;&#1082;&#1090;&#1088;&#1086;&#1085;&#1085;&#1086;&#1081;%20&#1087;&#1086;&#1095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BDC2-01BF-4AB4-AE77-6DE4F760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по  электронной почте.dot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ПА ПАДАТКАХ I ЗБОРАХ РЭСПУБЛIКI   БЕЛАРУСЬ</vt:lpstr>
    </vt:vector>
  </TitlesOfParts>
  <Company>taxidrom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ПА ПАДАТКАХ I ЗБОРАХ РЭСПУБЛIКI   БЕЛАРУСЬ</dc:title>
  <dc:creator>Бобко Алла Ивановна</dc:creator>
  <cp:lastModifiedBy>alexandr a. bazar</cp:lastModifiedBy>
  <cp:revision>2</cp:revision>
  <cp:lastPrinted>2021-03-16T05:39:00Z</cp:lastPrinted>
  <dcterms:created xsi:type="dcterms:W3CDTF">2021-03-17T11:19:00Z</dcterms:created>
  <dcterms:modified xsi:type="dcterms:W3CDTF">2021-03-17T11:19:00Z</dcterms:modified>
</cp:coreProperties>
</file>