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3" w:rsidRPr="00841F83" w:rsidRDefault="00841F83" w:rsidP="00841F83">
      <w:pPr>
        <w:spacing w:after="0" w:line="240" w:lineRule="auto"/>
        <w:rPr>
          <w:rFonts w:ascii="Times New Roman" w:hAnsi="Times New Roman" w:cs="Times New Roman"/>
          <w:sz w:val="24"/>
          <w:szCs w:val="24"/>
        </w:rPr>
      </w:pPr>
      <w:bookmarkStart w:id="0" w:name="_GoBack"/>
      <w:bookmarkEnd w:id="0"/>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«Профилактика киберперступности и преступлений,</w:t>
      </w:r>
      <w:r w:rsidR="006E6EFE" w:rsidRPr="001F2277">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Управлением по противодействию киберпреступности</w:t>
      </w:r>
    </w:p>
    <w:p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b/>
          <w:sz w:val="30"/>
          <w:szCs w:val="30"/>
        </w:rPr>
        <w:t>Вишинг</w:t>
      </w:r>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b/>
          <w:sz w:val="30"/>
          <w:szCs w:val="30"/>
        </w:rPr>
        <w:t>Фи́шинг</w:t>
      </w:r>
      <w:r w:rsidRPr="00763229">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A35BB5" w:rsidRPr="00763229" w:rsidRDefault="00A35BB5" w:rsidP="00763229">
      <w:pPr>
        <w:spacing w:after="0" w:line="240" w:lineRule="auto"/>
        <w:ind w:firstLine="708"/>
        <w:jc w:val="both"/>
        <w:rPr>
          <w:rFonts w:ascii="Times New Roman" w:hAnsi="Times New Roman" w:cs="Times New Roman"/>
          <w:sz w:val="30"/>
          <w:szCs w:val="30"/>
        </w:rPr>
      </w:pPr>
      <w:r w:rsidRPr="00336F44">
        <w:rPr>
          <w:rFonts w:ascii="Times New Roman" w:hAnsi="Times New Roman" w:cs="Times New Roman"/>
          <w:b/>
          <w:sz w:val="30"/>
          <w:szCs w:val="30"/>
        </w:rPr>
        <w:t>Сватинг</w:t>
      </w:r>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Сватинг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w:t>
      </w:r>
      <w:r w:rsidR="00A35BB5" w:rsidRPr="00763229">
        <w:rPr>
          <w:rFonts w:eastAsiaTheme="minorHAnsi"/>
          <w:sz w:val="30"/>
          <w:szCs w:val="30"/>
          <w:lang w:eastAsia="en-US"/>
        </w:rPr>
        <w:lastRenderedPageBreak/>
        <w:t>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r w:rsidRPr="00336F44">
        <w:rPr>
          <w:rFonts w:ascii="Times New Roman" w:hAnsi="Times New Roman" w:cs="Times New Roman"/>
          <w:b/>
          <w:sz w:val="30"/>
          <w:szCs w:val="30"/>
        </w:rPr>
        <w:t>DoS</w:t>
      </w:r>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В настоящее время DoS и DDoS-атаки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r w:rsidRPr="00BB0EA5">
        <w:rPr>
          <w:rFonts w:ascii="Times New Roman" w:hAnsi="Times New Roman" w:cs="Times New Roman"/>
          <w:b/>
          <w:sz w:val="30"/>
          <w:szCs w:val="30"/>
        </w:rPr>
        <w:t>Груминг</w:t>
      </w:r>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онлайн-игры, электронную почту. Затем может вынудить </w:t>
      </w:r>
      <w:r w:rsidR="007B3603" w:rsidRPr="00763229">
        <w:rPr>
          <w:rFonts w:ascii="Times New Roman" w:hAnsi="Times New Roman" w:cs="Times New Roman"/>
          <w:sz w:val="30"/>
          <w:szCs w:val="30"/>
        </w:rPr>
        <w:lastRenderedPageBreak/>
        <w:t>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 груминга отличают с</w:t>
      </w:r>
      <w:r w:rsidRPr="00FB4855">
        <w:rPr>
          <w:rFonts w:ascii="Times New Roman" w:hAnsi="Times New Roman" w:cs="Times New Roman"/>
          <w:sz w:val="30"/>
          <w:szCs w:val="30"/>
        </w:rPr>
        <w:t xml:space="preserve">екстинг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r w:rsidRPr="00FB4855">
        <w:rPr>
          <w:rFonts w:ascii="Times New Roman" w:hAnsi="Times New Roman" w:cs="Times New Roman"/>
          <w:b/>
          <w:sz w:val="30"/>
          <w:szCs w:val="30"/>
        </w:rPr>
        <w:t>Кибербуллинг</w:t>
      </w:r>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кибербуллинга: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4B5432" w:rsidRDefault="004B5432"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lastRenderedPageBreak/>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w:t>
      </w:r>
      <w:r w:rsidRPr="005B240F">
        <w:rPr>
          <w:rFonts w:ascii="Times New Roman" w:hAnsi="Times New Roman" w:cs="Times New Roman"/>
          <w:sz w:val="30"/>
          <w:szCs w:val="30"/>
        </w:rPr>
        <w:lastRenderedPageBreak/>
        <w:t>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«AnyDesk», «ТеаmViewer»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w:t>
      </w:r>
      <w:r w:rsidRPr="00B5471D">
        <w:rPr>
          <w:rFonts w:ascii="Times New Roman" w:hAnsi="Times New Roman"/>
          <w:sz w:val="30"/>
          <w:szCs w:val="30"/>
        </w:rPr>
        <w:lastRenderedPageBreak/>
        <w:t>сотрудники банков никогда не используют для связи с клиентами мессенджеры («Viber», «Теlеgrаm», «WhatsApp»);</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w:t>
      </w:r>
      <w:r w:rsidRPr="00B5471D">
        <w:rPr>
          <w:rFonts w:ascii="Times New Roman" w:hAnsi="Times New Roman"/>
          <w:sz w:val="30"/>
          <w:szCs w:val="30"/>
        </w:rPr>
        <w:lastRenderedPageBreak/>
        <w:t xml:space="preserve">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BB" w:rsidRDefault="00FA56BB" w:rsidP="002A238E">
      <w:pPr>
        <w:spacing w:after="0" w:line="240" w:lineRule="auto"/>
      </w:pPr>
      <w:r>
        <w:separator/>
      </w:r>
    </w:p>
  </w:endnote>
  <w:endnote w:type="continuationSeparator" w:id="0">
    <w:p w:rsidR="00FA56BB" w:rsidRDefault="00FA56BB"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BB" w:rsidRDefault="00FA56BB" w:rsidP="002A238E">
      <w:pPr>
        <w:spacing w:after="0" w:line="240" w:lineRule="auto"/>
      </w:pPr>
      <w:r>
        <w:separator/>
      </w:r>
    </w:p>
  </w:footnote>
  <w:footnote w:type="continuationSeparator" w:id="0">
    <w:p w:rsidR="00FA56BB" w:rsidRDefault="00FA56BB" w:rsidP="002A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EC5DF2">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6A6A"/>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C5DF2"/>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D94B-2696-418D-8347-E1EF8F96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user80_ideolog1_rik</cp:lastModifiedBy>
  <cp:revision>2</cp:revision>
  <cp:lastPrinted>2022-09-26T13:10:00Z</cp:lastPrinted>
  <dcterms:created xsi:type="dcterms:W3CDTF">2023-10-16T07:33:00Z</dcterms:created>
  <dcterms:modified xsi:type="dcterms:W3CDTF">2023-10-16T07:33:00Z</dcterms:modified>
</cp:coreProperties>
</file>